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594"/>
      </w:tblGrid>
      <w:tr w:rsidR="00CE68C9" w:rsidTr="00111BBB">
        <w:tc>
          <w:tcPr>
            <w:tcW w:w="1896" w:type="dxa"/>
            <w:vAlign w:val="center"/>
          </w:tcPr>
          <w:p w:rsidR="00CE68C9" w:rsidRPr="00334383" w:rsidRDefault="00CE68C9" w:rsidP="00CE68C9">
            <w:pPr>
              <w:rPr>
                <w:rFonts w:cs="Arial"/>
                <w:sz w:val="8"/>
              </w:rPr>
            </w:pPr>
            <w:r w:rsidRPr="00334383">
              <w:rPr>
                <w:rFonts w:ascii="Arial" w:hAnsi="Arial" w:cs="Arial"/>
                <w:noProof/>
                <w:sz w:val="8"/>
                <w:lang w:eastAsia="fr-FR"/>
              </w:rPr>
              <w:drawing>
                <wp:inline distT="0" distB="0" distL="0" distR="0" wp14:anchorId="5B295A02" wp14:editId="5C6EE706">
                  <wp:extent cx="979934" cy="199257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l="7959" t="24090" b="23854"/>
                          <a:stretch/>
                        </pic:blipFill>
                        <pic:spPr bwMode="auto">
                          <a:xfrm>
                            <a:off x="0" y="0"/>
                            <a:ext cx="981891" cy="19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4383" w:rsidRPr="00334383" w:rsidRDefault="00334383" w:rsidP="00CE68C9">
            <w:pPr>
              <w:rPr>
                <w:rFonts w:cs="Arial"/>
                <w:sz w:val="8"/>
              </w:rPr>
            </w:pPr>
          </w:p>
        </w:tc>
        <w:tc>
          <w:tcPr>
            <w:tcW w:w="8594" w:type="dxa"/>
            <w:vAlign w:val="center"/>
          </w:tcPr>
          <w:p w:rsidR="00CE68C9" w:rsidRPr="00334383" w:rsidRDefault="00CE68C9" w:rsidP="00CE68C9">
            <w:pPr>
              <w:rPr>
                <w:rFonts w:cs="Arial"/>
                <w:sz w:val="8"/>
              </w:rPr>
            </w:pPr>
          </w:p>
        </w:tc>
      </w:tr>
      <w:tr w:rsidR="00CE68C9" w:rsidTr="00111BBB">
        <w:trPr>
          <w:trHeight w:val="1577"/>
        </w:trPr>
        <w:tc>
          <w:tcPr>
            <w:tcW w:w="10490" w:type="dxa"/>
            <w:gridSpan w:val="2"/>
            <w:shd w:val="clear" w:color="auto" w:fill="EE7F00" w:themeFill="accent1"/>
            <w:vAlign w:val="center"/>
          </w:tcPr>
          <w:p w:rsidR="00144050" w:rsidRDefault="00144050" w:rsidP="00144050">
            <w:pPr>
              <w:pStyle w:val="Sansinterligne"/>
              <w:jc w:val="left"/>
              <w:rPr>
                <w:b/>
                <w:color w:val="FFFFFF" w:themeColor="background1"/>
              </w:rPr>
            </w:pPr>
            <w:r w:rsidRPr="00144050">
              <w:rPr>
                <w:b/>
                <w:color w:val="FFFFFF" w:themeColor="background1"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5141595</wp:posOffset>
                  </wp:positionH>
                  <wp:positionV relativeFrom="paragraph">
                    <wp:posOffset>0</wp:posOffset>
                  </wp:positionV>
                  <wp:extent cx="1125557" cy="1440000"/>
                  <wp:effectExtent l="0" t="0" r="0" b="825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5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211">
              <w:rPr>
                <w:b/>
                <w:color w:val="FFFFFF" w:themeColor="background1"/>
              </w:rPr>
              <w:t xml:space="preserve"> </w:t>
            </w:r>
          </w:p>
          <w:p w:rsidR="00144050" w:rsidRDefault="00144050" w:rsidP="00144050">
            <w:pPr>
              <w:pStyle w:val="Sansinterligne"/>
              <w:jc w:val="left"/>
              <w:rPr>
                <w:b/>
                <w:color w:val="FFFFFF" w:themeColor="background1"/>
              </w:rPr>
            </w:pPr>
          </w:p>
          <w:p w:rsidR="00144050" w:rsidRDefault="00144050" w:rsidP="00144050">
            <w:pPr>
              <w:pStyle w:val="Sansinterligne"/>
              <w:jc w:val="left"/>
              <w:rPr>
                <w:b/>
                <w:color w:val="FFFFFF" w:themeColor="background1"/>
              </w:rPr>
            </w:pPr>
          </w:p>
          <w:p w:rsidR="00144050" w:rsidRDefault="00144050" w:rsidP="00144050">
            <w:pPr>
              <w:pStyle w:val="Sansinterligne"/>
              <w:jc w:val="left"/>
              <w:rPr>
                <w:b/>
                <w:color w:val="FFFFFF" w:themeColor="background1"/>
              </w:rPr>
            </w:pPr>
          </w:p>
          <w:p w:rsidR="00CE68C9" w:rsidRPr="00CE68C9" w:rsidRDefault="00144050" w:rsidP="00144050">
            <w:pPr>
              <w:pStyle w:val="Sansinterligne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Eddy HANDTSCHOEWERCKER</w:t>
            </w:r>
          </w:p>
        </w:tc>
      </w:tr>
      <w:tr w:rsidR="00CE68C9" w:rsidTr="00111BBB">
        <w:tc>
          <w:tcPr>
            <w:tcW w:w="10490" w:type="dxa"/>
            <w:gridSpan w:val="2"/>
            <w:tcBorders>
              <w:bottom w:val="thickThinMediumGap" w:sz="24" w:space="0" w:color="EE7F00" w:themeColor="accent1"/>
            </w:tcBorders>
            <w:vAlign w:val="center"/>
          </w:tcPr>
          <w:p w:rsidR="006F7F98" w:rsidRDefault="006F7F98" w:rsidP="006F7F98">
            <w:pPr>
              <w:pStyle w:val="Sansinterligne"/>
              <w:jc w:val="center"/>
              <w:rPr>
                <w:b/>
              </w:rPr>
            </w:pPr>
          </w:p>
          <w:p w:rsidR="002E6C84" w:rsidRPr="006F7F98" w:rsidRDefault="00F30F5C" w:rsidP="006F7F98">
            <w:pPr>
              <w:pStyle w:val="Sansinterlign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Chargé d’étude </w:t>
            </w:r>
            <w:r w:rsidR="00144050">
              <w:rPr>
                <w:b/>
                <w:sz w:val="22"/>
              </w:rPr>
              <w:t>en bâtiment</w:t>
            </w:r>
          </w:p>
          <w:p w:rsidR="002E6C84" w:rsidRPr="00CE68C9" w:rsidRDefault="002E6C84" w:rsidP="00CE68C9">
            <w:pPr>
              <w:pStyle w:val="Sansinterligne"/>
            </w:pPr>
          </w:p>
        </w:tc>
      </w:tr>
      <w:tr w:rsidR="00111BBB" w:rsidTr="00111BBB">
        <w:tc>
          <w:tcPr>
            <w:tcW w:w="10490" w:type="dxa"/>
            <w:gridSpan w:val="2"/>
            <w:tcBorders>
              <w:top w:val="thickThinMediumGap" w:sz="24" w:space="0" w:color="EE7F00" w:themeColor="accent1"/>
              <w:bottom w:val="thickThinMediumGap" w:sz="24" w:space="0" w:color="EE7F00" w:themeColor="accent1"/>
            </w:tcBorders>
          </w:tcPr>
          <w:p w:rsidR="00111BBB" w:rsidRDefault="00111BBB" w:rsidP="00111BBB">
            <w:pPr>
              <w:jc w:val="both"/>
              <w:rPr>
                <w:b/>
                <w:color w:val="EE7F00" w:themeColor="accent1"/>
              </w:rPr>
            </w:pPr>
          </w:p>
          <w:p w:rsidR="00111BBB" w:rsidRDefault="00111BBB" w:rsidP="00111BBB">
            <w:pPr>
              <w:jc w:val="center"/>
              <w:rPr>
                <w:rFonts w:ascii="Arial" w:hAnsi="Arial" w:cs="Arial"/>
                <w:b/>
              </w:rPr>
            </w:pPr>
            <w:r w:rsidRPr="00111BBB">
              <w:rPr>
                <w:b/>
                <w:color w:val="EE7F00" w:themeColor="accent1"/>
              </w:rPr>
              <w:t>Domaines d’expertise</w:t>
            </w:r>
          </w:p>
          <w:p w:rsidR="00A13ED3" w:rsidRDefault="00144050" w:rsidP="006F7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Étanchéité à l’air des bâtiments</w:t>
            </w:r>
          </w:p>
          <w:p w:rsidR="00144050" w:rsidRDefault="00144050" w:rsidP="006F7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Thermique du bâtiment</w:t>
            </w:r>
          </w:p>
          <w:p w:rsidR="00144050" w:rsidRPr="00CB4024" w:rsidRDefault="00144050" w:rsidP="006F7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 patrimoine immobilier</w:t>
            </w:r>
          </w:p>
          <w:p w:rsidR="002E6C84" w:rsidRDefault="002E6C84" w:rsidP="00111BBB">
            <w:pPr>
              <w:jc w:val="both"/>
              <w:rPr>
                <w:b/>
                <w:color w:val="EE7F00" w:themeColor="accent1"/>
              </w:rPr>
            </w:pPr>
          </w:p>
        </w:tc>
      </w:tr>
      <w:tr w:rsidR="00CE68C9" w:rsidTr="00111BBB">
        <w:tc>
          <w:tcPr>
            <w:tcW w:w="1896" w:type="dxa"/>
            <w:tcBorders>
              <w:top w:val="thickThinMediumGap" w:sz="24" w:space="0" w:color="EE7F00" w:themeColor="accent1"/>
              <w:bottom w:val="single" w:sz="12" w:space="0" w:color="EE7F00" w:themeColor="accent1"/>
            </w:tcBorders>
          </w:tcPr>
          <w:p w:rsidR="00111BBB" w:rsidRDefault="00111BBB" w:rsidP="00CE68C9">
            <w:pPr>
              <w:rPr>
                <w:b/>
                <w:color w:val="EE7F00" w:themeColor="accent1"/>
              </w:rPr>
            </w:pPr>
          </w:p>
          <w:p w:rsidR="00CE68C9" w:rsidRPr="002A5724" w:rsidRDefault="00CE68C9" w:rsidP="00CE68C9">
            <w:pPr>
              <w:rPr>
                <w:rFonts w:ascii="Arial" w:hAnsi="Arial" w:cs="Arial"/>
              </w:rPr>
            </w:pPr>
            <w:r w:rsidRPr="00CE68C9">
              <w:rPr>
                <w:b/>
                <w:color w:val="EE7F00" w:themeColor="accent1"/>
              </w:rPr>
              <w:t>Expériences pro</w:t>
            </w:r>
            <w:bookmarkStart w:id="0" w:name="_GoBack"/>
            <w:bookmarkEnd w:id="0"/>
            <w:r w:rsidRPr="00CE68C9">
              <w:rPr>
                <w:b/>
                <w:color w:val="EE7F00" w:themeColor="accent1"/>
              </w:rPr>
              <w:t>fessionnelles</w:t>
            </w:r>
          </w:p>
        </w:tc>
        <w:tc>
          <w:tcPr>
            <w:tcW w:w="8594" w:type="dxa"/>
            <w:tcBorders>
              <w:top w:val="thickThinMediumGap" w:sz="24" w:space="0" w:color="EE7F00" w:themeColor="accent1"/>
              <w:bottom w:val="single" w:sz="12" w:space="0" w:color="EE7F00" w:themeColor="accent1"/>
            </w:tcBorders>
          </w:tcPr>
          <w:p w:rsidR="002E6C84" w:rsidRPr="00CB4024" w:rsidRDefault="002E6C84" w:rsidP="00CB4024">
            <w:pPr>
              <w:jc w:val="both"/>
              <w:rPr>
                <w:rFonts w:ascii="Arial" w:hAnsi="Arial" w:cs="Arial"/>
              </w:rPr>
            </w:pPr>
          </w:p>
          <w:p w:rsidR="00CB4024" w:rsidRPr="006F7F98" w:rsidRDefault="006F7F98" w:rsidP="00A13E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Depuis </w:t>
            </w:r>
            <w:r w:rsidR="00144050">
              <w:rPr>
                <w:rFonts w:ascii="Arial" w:hAnsi="Arial" w:cs="Arial"/>
              </w:rPr>
              <w:t>Juillet 2016</w:t>
            </w:r>
            <w:r>
              <w:rPr>
                <w:rFonts w:ascii="Arial" w:hAnsi="Arial" w:cs="Arial"/>
              </w:rPr>
              <w:t xml:space="preserve"> </w:t>
            </w:r>
            <w:r w:rsidR="00CB4024">
              <w:rPr>
                <w:rFonts w:ascii="Arial" w:hAnsi="Arial" w:cs="Arial"/>
              </w:rPr>
              <w:t xml:space="preserve">: </w:t>
            </w:r>
            <w:r w:rsidR="00A13ED3">
              <w:rPr>
                <w:rFonts w:ascii="Arial" w:hAnsi="Arial" w:cs="Arial"/>
                <w:b/>
              </w:rPr>
              <w:t xml:space="preserve">Chargé d’étude </w:t>
            </w:r>
            <w:r w:rsidR="00144050">
              <w:rPr>
                <w:rFonts w:ascii="Arial" w:hAnsi="Arial" w:cs="Arial"/>
                <w:b/>
              </w:rPr>
              <w:t>en Bâtiment</w:t>
            </w:r>
          </w:p>
          <w:p w:rsidR="00CB4024" w:rsidRPr="00CB4024" w:rsidRDefault="00CB4024" w:rsidP="00CB4024">
            <w:pPr>
              <w:jc w:val="both"/>
              <w:rPr>
                <w:rFonts w:ascii="Arial" w:hAnsi="Arial" w:cs="Arial"/>
              </w:rPr>
            </w:pPr>
            <w:r w:rsidRPr="00CB4024">
              <w:rPr>
                <w:rFonts w:ascii="Arial" w:hAnsi="Arial" w:cs="Arial"/>
              </w:rPr>
              <w:t xml:space="preserve">Cerema Direction Territoriale Sud-Ouest / Département Aménagement Intermodalités et Transports – Saint-Médard en </w:t>
            </w:r>
            <w:proofErr w:type="spellStart"/>
            <w:r w:rsidRPr="00CB4024">
              <w:rPr>
                <w:rFonts w:ascii="Arial" w:hAnsi="Arial" w:cs="Arial"/>
              </w:rPr>
              <w:t>Jalles</w:t>
            </w:r>
            <w:proofErr w:type="spellEnd"/>
            <w:r w:rsidRPr="00CB4024">
              <w:rPr>
                <w:rFonts w:ascii="Arial" w:hAnsi="Arial" w:cs="Arial"/>
              </w:rPr>
              <w:t xml:space="preserve"> – Gironde (33)</w:t>
            </w:r>
          </w:p>
          <w:p w:rsidR="002E6C84" w:rsidRPr="00144050" w:rsidRDefault="00144050" w:rsidP="0014405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Participation à la réalisation du retour d’expérience du Guide d’Usage Environnemental des Bâtiments 2</w:t>
            </w:r>
          </w:p>
          <w:p w:rsidR="00144050" w:rsidRDefault="00144050" w:rsidP="0014405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 xml:space="preserve">Études de la perméabilité à l’air des logements existants </w:t>
            </w:r>
          </w:p>
          <w:p w:rsidR="00830533" w:rsidRDefault="00830533" w:rsidP="0014405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Gestion de la commission de formation des mesureurs en perméabilité à l’air des bâtiments </w:t>
            </w:r>
          </w:p>
          <w:p w:rsidR="00830533" w:rsidRDefault="00830533" w:rsidP="0014405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Contrôle d’études thermiques dans le cadre de l’attribution d’aides FEDER pour la rénovation énergétique de bâtiments sociaux</w:t>
            </w:r>
          </w:p>
          <w:p w:rsidR="00830533" w:rsidRPr="00830533" w:rsidRDefault="00830533" w:rsidP="00830533">
            <w:pPr>
              <w:jc w:val="both"/>
              <w:rPr>
                <w:rFonts w:ascii="Arial" w:hAnsi="Arial" w:cs="Arial"/>
              </w:rPr>
            </w:pPr>
          </w:p>
          <w:p w:rsidR="006F7F98" w:rsidRDefault="00144050" w:rsidP="00A13E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Juin 2016</w:t>
            </w:r>
            <w:r w:rsidR="006F7F9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Mai 2011</w:t>
            </w:r>
            <w:r w:rsidR="00A13ED3">
              <w:rPr>
                <w:rFonts w:ascii="Arial" w:hAnsi="Arial" w:cs="Arial"/>
              </w:rPr>
              <w:t xml:space="preserve"> </w:t>
            </w:r>
            <w:r w:rsidR="006F7F98">
              <w:rPr>
                <w:rFonts w:ascii="Arial" w:hAnsi="Arial" w:cs="Arial"/>
              </w:rPr>
              <w:t xml:space="preserve">: </w:t>
            </w:r>
            <w:r w:rsidR="00A13ED3">
              <w:rPr>
                <w:rFonts w:ascii="Arial" w:hAnsi="Arial" w:cs="Arial"/>
                <w:b/>
              </w:rPr>
              <w:t xml:space="preserve">Chargé </w:t>
            </w:r>
            <w:r>
              <w:rPr>
                <w:rFonts w:ascii="Arial" w:hAnsi="Arial" w:cs="Arial"/>
                <w:b/>
              </w:rPr>
              <w:t>d’études et chargé d’affaires en risques technologiques</w:t>
            </w:r>
          </w:p>
          <w:p w:rsidR="00144050" w:rsidRPr="00CB4024" w:rsidRDefault="00144050" w:rsidP="00144050">
            <w:pPr>
              <w:jc w:val="both"/>
              <w:rPr>
                <w:rFonts w:ascii="Arial" w:hAnsi="Arial" w:cs="Arial"/>
              </w:rPr>
            </w:pPr>
            <w:r w:rsidRPr="00CB4024">
              <w:rPr>
                <w:rFonts w:ascii="Arial" w:hAnsi="Arial" w:cs="Arial"/>
              </w:rPr>
              <w:t xml:space="preserve">Cerema Direction Territoriale Sud-Ouest / Département </w:t>
            </w:r>
            <w:r>
              <w:rPr>
                <w:rFonts w:ascii="Arial" w:hAnsi="Arial" w:cs="Arial"/>
              </w:rPr>
              <w:t xml:space="preserve">Laboratoire de Bordeaux – Bordeaux </w:t>
            </w:r>
            <w:r w:rsidRPr="00CB4024">
              <w:rPr>
                <w:rFonts w:ascii="Arial" w:hAnsi="Arial" w:cs="Arial"/>
              </w:rPr>
              <w:t>– Gironde (33)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Risques naturels et technologiques pour la détermination des enjeux du territoire et de leur vulnérabilité,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Risques technologiques pour la réalisation de diagnostics simples de vulnérabilité aux effets thermiques et surpression, et diagnostics approfondis de vulnérabilité aux effets toxiques,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Études préalables à l'élaboration des documents de planification (volet risques),</w:t>
            </w:r>
          </w:p>
          <w:p w:rsidR="00144050" w:rsidRDefault="00144050" w:rsidP="00144050">
            <w:pPr>
              <w:jc w:val="both"/>
              <w:rPr>
                <w:rFonts w:ascii="Arial" w:hAnsi="Arial" w:cs="Arial"/>
              </w:rPr>
            </w:pPr>
          </w:p>
          <w:p w:rsidR="00144050" w:rsidRDefault="00144050" w:rsidP="001440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Avril</w:t>
            </w:r>
            <w:r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Août 2008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b/>
              </w:rPr>
              <w:t>Chargé d’études et chargé d’affaires en risques technologiques</w:t>
            </w:r>
          </w:p>
          <w:p w:rsidR="00144050" w:rsidRPr="006F7F98" w:rsidRDefault="00144050" w:rsidP="001440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Ministère de l’Équipement et du Logement – Direction Départementale des Territoires et de la Mer de la Gironde – Unité Maîtrise de l’énergie, construction durable et accessibilité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Risques naturels et technologiques pour la détermination des enjeux du territoire et de leur vulnérabilité,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Risques technologiques pour la réalisation de diagnostics simples de vulnérabilité aux effets thermiques et surpression, et diagnostics approfondis de vulnérabilité aux effets toxiques,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Études préalables à l'élaboration des documents de planification (volet risques),</w:t>
            </w:r>
          </w:p>
          <w:p w:rsidR="00144050" w:rsidRPr="00144050" w:rsidRDefault="00144050" w:rsidP="0014405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44050">
              <w:rPr>
                <w:rFonts w:ascii="Arial" w:hAnsi="Arial" w:cs="Arial"/>
              </w:rPr>
              <w:t>Études méthodologiques et élaboration de documents de référence pour le compte des administrations centrales ou de partenaires de recherche (DGPR-SEI, INERIS, Universités...).</w:t>
            </w:r>
          </w:p>
          <w:p w:rsidR="002E6C84" w:rsidRPr="002A5724" w:rsidRDefault="002E6C84" w:rsidP="00CE68C9">
            <w:pPr>
              <w:jc w:val="both"/>
              <w:rPr>
                <w:rFonts w:ascii="Arial" w:hAnsi="Arial" w:cs="Arial"/>
              </w:rPr>
            </w:pPr>
          </w:p>
        </w:tc>
      </w:tr>
      <w:tr w:rsidR="00CE68C9" w:rsidTr="00111BBB">
        <w:tc>
          <w:tcPr>
            <w:tcW w:w="1896" w:type="dxa"/>
            <w:tcBorders>
              <w:top w:val="single" w:sz="12" w:space="0" w:color="EE7F00" w:themeColor="accent1"/>
              <w:bottom w:val="single" w:sz="12" w:space="0" w:color="EE7F00" w:themeColor="accent1"/>
            </w:tcBorders>
          </w:tcPr>
          <w:p w:rsidR="00401D3A" w:rsidRPr="00CE68C9" w:rsidRDefault="00324889" w:rsidP="00401D3A">
            <w:pPr>
              <w:rPr>
                <w:b/>
                <w:color w:val="EE7F00" w:themeColor="accent1"/>
              </w:rPr>
            </w:pPr>
            <w:r>
              <w:rPr>
                <w:b/>
                <w:color w:val="EE7F00" w:themeColor="accent1"/>
              </w:rPr>
              <w:t xml:space="preserve"> </w:t>
            </w:r>
            <w:r w:rsidR="0049451D">
              <w:rPr>
                <w:b/>
                <w:color w:val="EE7F00" w:themeColor="accent1"/>
              </w:rPr>
              <w:t>Publication</w:t>
            </w:r>
            <w:r w:rsidR="009A5E3F">
              <w:rPr>
                <w:b/>
                <w:color w:val="EE7F00" w:themeColor="accent1"/>
              </w:rPr>
              <w:t>s</w:t>
            </w:r>
          </w:p>
        </w:tc>
        <w:tc>
          <w:tcPr>
            <w:tcW w:w="8594" w:type="dxa"/>
            <w:tcBorders>
              <w:top w:val="single" w:sz="12" w:space="0" w:color="EE7F00" w:themeColor="accent1"/>
              <w:bottom w:val="single" w:sz="12" w:space="0" w:color="EE7F00" w:themeColor="accent1"/>
            </w:tcBorders>
          </w:tcPr>
          <w:p w:rsidR="00A8416A" w:rsidRDefault="00830533" w:rsidP="008305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Contribution à la synthèse du guide de conception des unités Alzheimer. </w:t>
            </w:r>
          </w:p>
          <w:p w:rsidR="00830533" w:rsidRPr="009A4F4B" w:rsidRDefault="00830533" w:rsidP="008305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 de fiches de communication à destination des habitants impactés par un risque inondation présentant des mesures de réduction de vulnérabilité du bâti.</w:t>
            </w:r>
          </w:p>
        </w:tc>
      </w:tr>
      <w:tr w:rsidR="00CE68C9" w:rsidTr="00111BBB">
        <w:tc>
          <w:tcPr>
            <w:tcW w:w="1896" w:type="dxa"/>
            <w:tcBorders>
              <w:top w:val="single" w:sz="12" w:space="0" w:color="EE7F00" w:themeColor="accent1"/>
            </w:tcBorders>
          </w:tcPr>
          <w:p w:rsidR="00CE68C9" w:rsidRPr="00CE68C9" w:rsidRDefault="00CE68C9" w:rsidP="00CE68C9">
            <w:pPr>
              <w:rPr>
                <w:b/>
                <w:color w:val="EE7F00" w:themeColor="accent1"/>
              </w:rPr>
            </w:pPr>
            <w:r w:rsidRPr="00CE68C9">
              <w:rPr>
                <w:b/>
                <w:color w:val="EE7F00" w:themeColor="accent1"/>
              </w:rPr>
              <w:t>Formation</w:t>
            </w:r>
          </w:p>
        </w:tc>
        <w:tc>
          <w:tcPr>
            <w:tcW w:w="8594" w:type="dxa"/>
            <w:tcBorders>
              <w:top w:val="single" w:sz="12" w:space="0" w:color="EE7F00" w:themeColor="accent1"/>
            </w:tcBorders>
          </w:tcPr>
          <w:p w:rsidR="006F7F98" w:rsidRDefault="00830533" w:rsidP="006F7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2007 – 2008 </w:t>
            </w:r>
            <w:r w:rsidR="009A4F4B">
              <w:rPr>
                <w:rFonts w:ascii="Arial" w:hAnsi="Arial" w:cs="Arial"/>
              </w:rPr>
              <w:t xml:space="preserve">: École Nationale des Techniciens de l’Équipement – Établissement </w:t>
            </w:r>
            <w:r>
              <w:rPr>
                <w:rFonts w:ascii="Arial" w:hAnsi="Arial" w:cs="Arial"/>
              </w:rPr>
              <w:t>de Valenciennes</w:t>
            </w:r>
          </w:p>
          <w:p w:rsidR="00830533" w:rsidRPr="006F7F98" w:rsidRDefault="00830533" w:rsidP="006F7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 : Licence de Mathématiques – Université du Littoral Côte d’</w:t>
            </w:r>
            <w:proofErr w:type="spellStart"/>
            <w:r>
              <w:rPr>
                <w:rFonts w:ascii="Arial" w:hAnsi="Arial" w:cs="Arial"/>
              </w:rPr>
              <w:t>Opal</w:t>
            </w:r>
            <w:proofErr w:type="spellEnd"/>
          </w:p>
          <w:p w:rsidR="002E6C84" w:rsidRPr="006F7F98" w:rsidRDefault="002E6C84" w:rsidP="006F7F98">
            <w:pPr>
              <w:jc w:val="both"/>
              <w:rPr>
                <w:rFonts w:ascii="Arial" w:hAnsi="Arial" w:cs="Arial"/>
              </w:rPr>
            </w:pPr>
          </w:p>
        </w:tc>
      </w:tr>
      <w:tr w:rsidR="00CE68C9" w:rsidTr="00111BBB">
        <w:tc>
          <w:tcPr>
            <w:tcW w:w="1896" w:type="dxa"/>
            <w:tcBorders>
              <w:top w:val="single" w:sz="12" w:space="0" w:color="EE7F00" w:themeColor="accent1"/>
            </w:tcBorders>
          </w:tcPr>
          <w:p w:rsidR="00CE68C9" w:rsidRPr="00CE68C9" w:rsidRDefault="00CE68C9" w:rsidP="00CE68C9">
            <w:pPr>
              <w:rPr>
                <w:b/>
                <w:color w:val="EE7F00" w:themeColor="accent1"/>
              </w:rPr>
            </w:pPr>
            <w:r w:rsidRPr="00CE68C9">
              <w:rPr>
                <w:b/>
                <w:color w:val="EE7F00" w:themeColor="accent1"/>
              </w:rPr>
              <w:t>Langues</w:t>
            </w:r>
          </w:p>
        </w:tc>
        <w:tc>
          <w:tcPr>
            <w:tcW w:w="8594" w:type="dxa"/>
            <w:tcBorders>
              <w:top w:val="single" w:sz="12" w:space="0" w:color="EE7F00" w:themeColor="accent1"/>
            </w:tcBorders>
          </w:tcPr>
          <w:p w:rsidR="002E6C84" w:rsidRPr="002A5724" w:rsidRDefault="009A4F4B" w:rsidP="009A4F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Français</w:t>
            </w:r>
          </w:p>
        </w:tc>
      </w:tr>
    </w:tbl>
    <w:p w:rsidR="00CE68C9" w:rsidRPr="002A5724" w:rsidRDefault="00CE68C9">
      <w:pPr>
        <w:rPr>
          <w:rFonts w:ascii="Arial" w:hAnsi="Arial" w:cs="Arial"/>
        </w:rPr>
      </w:pPr>
    </w:p>
    <w:sectPr w:rsidR="00CE68C9" w:rsidRPr="002A5724" w:rsidSect="002A572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0092"/>
    <w:multiLevelType w:val="multilevel"/>
    <w:tmpl w:val="221AAD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0C66D8"/>
    <w:multiLevelType w:val="multilevel"/>
    <w:tmpl w:val="955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F374A4"/>
    <w:multiLevelType w:val="hybridMultilevel"/>
    <w:tmpl w:val="91A4E5FE"/>
    <w:lvl w:ilvl="0" w:tplc="82847C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89E"/>
    <w:multiLevelType w:val="hybridMultilevel"/>
    <w:tmpl w:val="12C463E2"/>
    <w:lvl w:ilvl="0" w:tplc="0E60D9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80D62"/>
    <w:multiLevelType w:val="hybridMultilevel"/>
    <w:tmpl w:val="11BEE1EC"/>
    <w:lvl w:ilvl="0" w:tplc="F006B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CE20A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64C70"/>
    <w:multiLevelType w:val="hybridMultilevel"/>
    <w:tmpl w:val="71068086"/>
    <w:lvl w:ilvl="0" w:tplc="F006B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006B41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82D6F"/>
    <w:multiLevelType w:val="hybridMultilevel"/>
    <w:tmpl w:val="68D0495A"/>
    <w:lvl w:ilvl="0" w:tplc="F006B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968D3"/>
    <w:multiLevelType w:val="hybridMultilevel"/>
    <w:tmpl w:val="C3CE389C"/>
    <w:lvl w:ilvl="0" w:tplc="4EBC141C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55E7226"/>
    <w:multiLevelType w:val="multilevel"/>
    <w:tmpl w:val="DD0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A2D5E9A"/>
    <w:multiLevelType w:val="hybridMultilevel"/>
    <w:tmpl w:val="13249756"/>
    <w:lvl w:ilvl="0" w:tplc="C136EA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D"/>
    <w:rsid w:val="00111BBB"/>
    <w:rsid w:val="00144050"/>
    <w:rsid w:val="001C6DEE"/>
    <w:rsid w:val="00230685"/>
    <w:rsid w:val="002A5724"/>
    <w:rsid w:val="002E6C84"/>
    <w:rsid w:val="00316F9F"/>
    <w:rsid w:val="00324889"/>
    <w:rsid w:val="00334383"/>
    <w:rsid w:val="003C18EB"/>
    <w:rsid w:val="00401D3A"/>
    <w:rsid w:val="0049451D"/>
    <w:rsid w:val="006F7F98"/>
    <w:rsid w:val="007B08A5"/>
    <w:rsid w:val="008014C2"/>
    <w:rsid w:val="00830533"/>
    <w:rsid w:val="008E5FF6"/>
    <w:rsid w:val="00952371"/>
    <w:rsid w:val="009874C7"/>
    <w:rsid w:val="009A4F4B"/>
    <w:rsid w:val="009A5E3F"/>
    <w:rsid w:val="00A13ED3"/>
    <w:rsid w:val="00A8416A"/>
    <w:rsid w:val="00BF32A5"/>
    <w:rsid w:val="00CB4024"/>
    <w:rsid w:val="00CE68C9"/>
    <w:rsid w:val="00ED4F0C"/>
    <w:rsid w:val="00F30F5C"/>
    <w:rsid w:val="00F46211"/>
    <w:rsid w:val="00F76317"/>
    <w:rsid w:val="00FB0798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F39BD-5D83-48B2-9172-EFAEA2D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8C9"/>
  </w:style>
  <w:style w:type="paragraph" w:styleId="Titre1">
    <w:name w:val="heading 1"/>
    <w:basedOn w:val="Normal"/>
    <w:next w:val="Normal"/>
    <w:link w:val="Titre1Car"/>
    <w:uiPriority w:val="9"/>
    <w:qFormat/>
    <w:rsid w:val="00CE68C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5E0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68C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68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5936F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6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68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5936F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68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5936F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68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0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68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5936F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6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5936F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Normal"/>
    <w:link w:val="TitreCar"/>
    <w:uiPriority w:val="10"/>
    <w:qFormat/>
    <w:rsid w:val="00CE68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EE7F00" w:themeColor="accent1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CE68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rsid w:val="0047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E68C9"/>
    <w:rPr>
      <w:rFonts w:asciiTheme="majorHAnsi" w:eastAsiaTheme="majorEastAsia" w:hAnsiTheme="majorHAnsi" w:cstheme="majorBidi"/>
      <w:color w:val="B25E00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E68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E68C9"/>
    <w:rPr>
      <w:rFonts w:asciiTheme="majorHAnsi" w:eastAsiaTheme="majorEastAsia" w:hAnsiTheme="majorHAnsi" w:cstheme="majorBidi"/>
      <w:color w:val="15936F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68C9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E68C9"/>
    <w:rPr>
      <w:rFonts w:asciiTheme="majorHAnsi" w:eastAsiaTheme="majorEastAsia" w:hAnsiTheme="majorHAnsi" w:cstheme="majorBidi"/>
      <w:color w:val="15936F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E68C9"/>
    <w:rPr>
      <w:rFonts w:asciiTheme="majorHAnsi" w:eastAsiaTheme="majorEastAsia" w:hAnsiTheme="majorHAnsi" w:cstheme="majorBidi"/>
      <w:i/>
      <w:iCs/>
      <w:color w:val="15936F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E68C9"/>
    <w:rPr>
      <w:rFonts w:asciiTheme="majorHAnsi" w:eastAsiaTheme="majorEastAsia" w:hAnsiTheme="majorHAnsi" w:cstheme="majorBidi"/>
      <w:i/>
      <w:iCs/>
      <w:color w:val="773F00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E68C9"/>
    <w:rPr>
      <w:rFonts w:asciiTheme="majorHAnsi" w:eastAsiaTheme="majorEastAsia" w:hAnsiTheme="majorHAnsi" w:cstheme="majorBidi"/>
      <w:b/>
      <w:bCs/>
      <w:color w:val="15936F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CE68C9"/>
    <w:rPr>
      <w:rFonts w:asciiTheme="majorHAnsi" w:eastAsiaTheme="majorEastAsia" w:hAnsiTheme="majorHAnsi" w:cstheme="majorBidi"/>
      <w:b/>
      <w:bCs/>
      <w:i/>
      <w:iCs/>
      <w:color w:val="15936F" w:themeColor="text2"/>
    </w:rPr>
  </w:style>
  <w:style w:type="character" w:customStyle="1" w:styleId="TitreCar">
    <w:name w:val="Titre Car"/>
    <w:basedOn w:val="Policepardfaut"/>
    <w:link w:val="Titre"/>
    <w:uiPriority w:val="10"/>
    <w:rsid w:val="00CE68C9"/>
    <w:rPr>
      <w:rFonts w:asciiTheme="majorHAnsi" w:eastAsiaTheme="majorEastAsia" w:hAnsiTheme="majorHAnsi" w:cstheme="majorBidi"/>
      <w:color w:val="EE7F00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68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E68C9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CE68C9"/>
    <w:rPr>
      <w:b/>
      <w:bCs/>
    </w:rPr>
  </w:style>
  <w:style w:type="character" w:styleId="Accentuation">
    <w:name w:val="Emphasis"/>
    <w:basedOn w:val="Policepardfaut"/>
    <w:uiPriority w:val="20"/>
    <w:qFormat/>
    <w:rsid w:val="00CE68C9"/>
    <w:rPr>
      <w:i/>
      <w:iCs/>
    </w:rPr>
  </w:style>
  <w:style w:type="paragraph" w:styleId="Sansinterligne">
    <w:name w:val="No Spacing"/>
    <w:uiPriority w:val="1"/>
    <w:qFormat/>
    <w:rsid w:val="00CE68C9"/>
    <w:pPr>
      <w:spacing w:after="0" w:line="240" w:lineRule="auto"/>
      <w:jc w:val="both"/>
    </w:pPr>
  </w:style>
  <w:style w:type="paragraph" w:styleId="Citation">
    <w:name w:val="Quote"/>
    <w:basedOn w:val="Normal"/>
    <w:next w:val="Normal"/>
    <w:link w:val="CitationCar"/>
    <w:uiPriority w:val="29"/>
    <w:qFormat/>
    <w:rsid w:val="00CE68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68C9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68C9"/>
    <w:pPr>
      <w:pBdr>
        <w:left w:val="single" w:sz="18" w:space="12" w:color="EE7F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E7F00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68C9"/>
    <w:rPr>
      <w:rFonts w:asciiTheme="majorHAnsi" w:eastAsiaTheme="majorEastAsia" w:hAnsiTheme="majorHAnsi" w:cstheme="majorBidi"/>
      <w:color w:val="EE7F00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68C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CE68C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CE68C9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E68C9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E68C9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E68C9"/>
    <w:pPr>
      <w:outlineLvl w:val="9"/>
    </w:pPr>
  </w:style>
  <w:style w:type="paragraph" w:styleId="Paragraphedeliste">
    <w:name w:val="List Paragraph"/>
    <w:basedOn w:val="Normal"/>
    <w:uiPriority w:val="34"/>
    <w:qFormat/>
    <w:rsid w:val="00CE68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ouleurs Cerema">
      <a:dk1>
        <a:sysClr val="windowText" lastClr="000000"/>
      </a:dk1>
      <a:lt1>
        <a:sysClr val="window" lastClr="FFFFFF"/>
      </a:lt1>
      <a:dk2>
        <a:srgbClr val="15936F"/>
      </a:dk2>
      <a:lt2>
        <a:srgbClr val="EEECE1"/>
      </a:lt2>
      <a:accent1>
        <a:srgbClr val="EE7F00"/>
      </a:accent1>
      <a:accent2>
        <a:srgbClr val="E54719"/>
      </a:accent2>
      <a:accent3>
        <a:srgbClr val="777777"/>
      </a:accent3>
      <a:accent4>
        <a:srgbClr val="62B1A1"/>
      </a:accent4>
      <a:accent5>
        <a:srgbClr val="2A9BB5"/>
      </a:accent5>
      <a:accent6>
        <a:srgbClr val="8DC1D4"/>
      </a:accent6>
      <a:hlink>
        <a:srgbClr val="EE7F00"/>
      </a:hlink>
      <a:folHlink>
        <a:srgbClr val="E54719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2883-28FF-40DB-BB42-F3660399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 Delphine VINCENT</dc:creator>
  <cp:lastModifiedBy>Mme Emma STEPHAN</cp:lastModifiedBy>
  <cp:revision>3</cp:revision>
  <cp:lastPrinted>2018-07-20T12:39:00Z</cp:lastPrinted>
  <dcterms:created xsi:type="dcterms:W3CDTF">2018-10-30T10:59:00Z</dcterms:created>
  <dcterms:modified xsi:type="dcterms:W3CDTF">2018-10-30T11:12:00Z</dcterms:modified>
  <dc:language>fr-FR</dc:language>
</cp:coreProperties>
</file>